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008D5" w14:textId="77777777" w:rsidR="00115AF6" w:rsidRDefault="007F6D10">
      <w:pPr>
        <w:pStyle w:val="Titolo"/>
        <w:numPr>
          <w:ilvl w:val="0"/>
          <w:numId w:val="1"/>
        </w:numPr>
        <w:rPr>
          <w:rFonts w:ascii="Titillium" w:hAnsi="Titillium"/>
          <w:sz w:val="20"/>
          <w:szCs w:val="20"/>
        </w:rPr>
      </w:pPr>
      <w:r>
        <w:rPr>
          <w:rFonts w:ascii="Titillium" w:hAnsi="Titillium"/>
          <w:sz w:val="20"/>
          <w:szCs w:val="20"/>
        </w:rPr>
        <w:t>Scheda di sintesi sulla rilevazione degli OIV o organismi con funzioni analoghe</w:t>
      </w:r>
    </w:p>
    <w:p w14:paraId="0C0FB7DC" w14:textId="77777777" w:rsidR="00115AF6" w:rsidRDefault="00115AF6">
      <w:pPr>
        <w:pStyle w:val="Paragrafoelenco"/>
        <w:ind w:left="0" w:firstLine="0"/>
        <w:rPr>
          <w:rFonts w:ascii="Titillium" w:hAnsi="Titillium"/>
          <w:sz w:val="20"/>
          <w:szCs w:val="20"/>
        </w:rPr>
      </w:pPr>
    </w:p>
    <w:p w14:paraId="520D3CA7" w14:textId="77777777" w:rsidR="00115AF6" w:rsidRDefault="007F6D10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>
        <w:rPr>
          <w:rFonts w:ascii="Titillium" w:hAnsi="Titillium"/>
          <w:b/>
          <w:i/>
          <w:sz w:val="20"/>
          <w:szCs w:val="20"/>
        </w:rPr>
        <w:t>Data di svolgimento della rilevazione</w:t>
      </w:r>
    </w:p>
    <w:p w14:paraId="60DCA251" w14:textId="42E60EE8" w:rsidR="00115AF6" w:rsidRDefault="00F71797">
      <w:pPr>
        <w:pStyle w:val="Paragrafoelenco"/>
        <w:spacing w:after="0" w:line="276" w:lineRule="auto"/>
        <w:ind w:left="0" w:firstLine="0"/>
        <w:rPr>
          <w:rFonts w:ascii="Titillium" w:hAnsi="Titillium"/>
          <w:sz w:val="20"/>
          <w:szCs w:val="20"/>
        </w:rPr>
      </w:pPr>
      <w:r>
        <w:rPr>
          <w:rFonts w:ascii="Titillium" w:hAnsi="Titillium"/>
          <w:sz w:val="20"/>
          <w:szCs w:val="20"/>
        </w:rPr>
        <w:t>19</w:t>
      </w:r>
      <w:r w:rsidR="007F6D10">
        <w:rPr>
          <w:rFonts w:ascii="Titillium" w:hAnsi="Titillium"/>
          <w:sz w:val="20"/>
          <w:szCs w:val="20"/>
        </w:rPr>
        <w:t>/06/2021</w:t>
      </w:r>
      <w:r>
        <w:rPr>
          <w:rFonts w:ascii="Titillium" w:hAnsi="Titillium"/>
          <w:sz w:val="20"/>
          <w:szCs w:val="20"/>
        </w:rPr>
        <w:t xml:space="preserve"> e 20/06/2021</w:t>
      </w:r>
    </w:p>
    <w:p w14:paraId="7809B7D0" w14:textId="77777777" w:rsidR="00115AF6" w:rsidRDefault="00115AF6">
      <w:pPr>
        <w:pStyle w:val="Paragrafoelenco"/>
        <w:spacing w:after="0" w:line="276" w:lineRule="auto"/>
        <w:ind w:left="720" w:firstLine="0"/>
        <w:rPr>
          <w:rFonts w:ascii="Titillium" w:hAnsi="Titillium"/>
          <w:sz w:val="20"/>
          <w:szCs w:val="20"/>
        </w:rPr>
      </w:pPr>
    </w:p>
    <w:p w14:paraId="27DD8E91" w14:textId="77777777" w:rsidR="00115AF6" w:rsidRDefault="007F6D10">
      <w:pPr>
        <w:pStyle w:val="Paragrafoelenco"/>
        <w:spacing w:line="360" w:lineRule="auto"/>
        <w:ind w:left="0" w:firstLine="0"/>
        <w:rPr>
          <w:rFonts w:ascii="Titillium" w:hAnsi="Titillium"/>
          <w:b/>
          <w:i/>
          <w:sz w:val="20"/>
          <w:szCs w:val="20"/>
        </w:rPr>
      </w:pPr>
      <w:r>
        <w:rPr>
          <w:rFonts w:ascii="Titillium" w:hAnsi="Titillium"/>
          <w:b/>
          <w:i/>
          <w:sz w:val="20"/>
          <w:szCs w:val="20"/>
        </w:rPr>
        <w:t xml:space="preserve">Procedure e modalità seguite per la rilevazione </w:t>
      </w:r>
    </w:p>
    <w:p w14:paraId="79B308A5" w14:textId="77777777" w:rsidR="00115AF6" w:rsidRDefault="00115AF6">
      <w:pPr>
        <w:pStyle w:val="Paragrafoelenco"/>
        <w:spacing w:after="0" w:line="360" w:lineRule="auto"/>
        <w:ind w:left="0" w:firstLine="0"/>
        <w:rPr>
          <w:rFonts w:ascii="Titillium" w:hAnsi="Titillium"/>
          <w:sz w:val="20"/>
          <w:szCs w:val="20"/>
        </w:rPr>
      </w:pPr>
    </w:p>
    <w:p w14:paraId="645F9614" w14:textId="77777777" w:rsidR="00115AF6" w:rsidRDefault="007F6D10">
      <w:pPr>
        <w:pStyle w:val="Default"/>
        <w:numPr>
          <w:ilvl w:val="0"/>
          <w:numId w:val="2"/>
        </w:numPr>
        <w:tabs>
          <w:tab w:val="clear" w:pos="720"/>
          <w:tab w:val="left" w:pos="0"/>
        </w:tabs>
        <w:spacing w:line="360" w:lineRule="auto"/>
        <w:jc w:val="both"/>
        <w:rPr>
          <w:rFonts w:ascii="Titillium" w:hAnsi="Titillium"/>
          <w:sz w:val="20"/>
          <w:szCs w:val="20"/>
        </w:rPr>
      </w:pPr>
      <w:r>
        <w:rPr>
          <w:rFonts w:ascii="Titillium" w:hAnsi="Titillium"/>
          <w:sz w:val="20"/>
          <w:szCs w:val="20"/>
        </w:rPr>
        <w:t>verifica diretta sul sito istituzionale, anche attraverso l’utilizzo di supporti informatici.</w:t>
      </w:r>
    </w:p>
    <w:p w14:paraId="420D6C16" w14:textId="77777777" w:rsidR="00115AF6" w:rsidRDefault="00115AF6">
      <w:pPr>
        <w:spacing w:line="360" w:lineRule="auto"/>
        <w:rPr>
          <w:rFonts w:ascii="Titillium" w:hAnsi="Titillium"/>
          <w:sz w:val="20"/>
          <w:szCs w:val="20"/>
          <w:u w:val="single"/>
        </w:rPr>
      </w:pPr>
    </w:p>
    <w:p w14:paraId="17F85446" w14:textId="77777777" w:rsidR="00115AF6" w:rsidRDefault="007F6D10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>
        <w:rPr>
          <w:rFonts w:ascii="Titillium" w:hAnsi="Titillium"/>
          <w:b/>
          <w:i/>
          <w:sz w:val="20"/>
          <w:szCs w:val="20"/>
        </w:rPr>
        <w:t>Aspetti critici riscontrati nel corso della rilevazione</w:t>
      </w:r>
    </w:p>
    <w:p w14:paraId="2CC5B176" w14:textId="77777777" w:rsidR="00115AF6" w:rsidRDefault="007F6D10">
      <w:pPr>
        <w:spacing w:line="360" w:lineRule="auto"/>
        <w:rPr>
          <w:rFonts w:ascii="Titillium" w:hAnsi="Titillium"/>
          <w:b/>
          <w:sz w:val="20"/>
          <w:szCs w:val="20"/>
          <w:u w:val="single"/>
        </w:rPr>
      </w:pPr>
      <w:r>
        <w:rPr>
          <w:rFonts w:ascii="Titillium" w:hAnsi="Titillium"/>
          <w:b/>
          <w:sz w:val="20"/>
          <w:szCs w:val="20"/>
          <w:u w:val="single"/>
        </w:rPr>
        <w:t>NESSUNO</w:t>
      </w:r>
    </w:p>
    <w:p w14:paraId="3735BFE7" w14:textId="77777777" w:rsidR="00115AF6" w:rsidRDefault="00115AF6">
      <w:pPr>
        <w:spacing w:line="360" w:lineRule="auto"/>
        <w:rPr>
          <w:rFonts w:ascii="Titillium" w:hAnsi="Titillium"/>
          <w:b/>
          <w:sz w:val="20"/>
          <w:szCs w:val="20"/>
          <w:u w:val="single"/>
        </w:rPr>
      </w:pPr>
    </w:p>
    <w:p w14:paraId="240FD810" w14:textId="77777777" w:rsidR="00115AF6" w:rsidRDefault="007F6D10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>
        <w:rPr>
          <w:rFonts w:ascii="Titillium" w:hAnsi="Titillium"/>
          <w:b/>
          <w:i/>
          <w:sz w:val="20"/>
          <w:szCs w:val="20"/>
        </w:rPr>
        <w:t>Eventuale documentazione da allegare</w:t>
      </w:r>
    </w:p>
    <w:sectPr w:rsidR="00115AF6">
      <w:headerReference w:type="default" r:id="rId7"/>
      <w:pgSz w:w="11906" w:h="16838"/>
      <w:pgMar w:top="1417" w:right="1134" w:bottom="708" w:left="1134" w:header="708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0835F" w14:textId="77777777" w:rsidR="000B127F" w:rsidRDefault="000B127F">
      <w:pPr>
        <w:spacing w:after="0" w:line="240" w:lineRule="auto"/>
      </w:pPr>
      <w:r>
        <w:separator/>
      </w:r>
    </w:p>
  </w:endnote>
  <w:endnote w:type="continuationSeparator" w:id="0">
    <w:p w14:paraId="5DE3A3BF" w14:textId="77777777" w:rsidR="000B127F" w:rsidRDefault="000B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tillium">
    <w:altName w:val="Cambria"/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39EC6" w14:textId="77777777" w:rsidR="000B127F" w:rsidRDefault="000B127F">
      <w:pPr>
        <w:spacing w:after="0" w:line="240" w:lineRule="auto"/>
      </w:pPr>
      <w:r>
        <w:separator/>
      </w:r>
    </w:p>
  </w:footnote>
  <w:footnote w:type="continuationSeparator" w:id="0">
    <w:p w14:paraId="7A9D4637" w14:textId="77777777" w:rsidR="000B127F" w:rsidRDefault="000B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54BB2" w14:textId="77777777" w:rsidR="00115AF6" w:rsidRDefault="007F6D10">
    <w:pPr>
      <w:pStyle w:val="Intestazione"/>
      <w:jc w:val="right"/>
      <w:rPr>
        <w:rFonts w:ascii="Garamond" w:hAnsi="Garamond"/>
        <w:b/>
      </w:rPr>
    </w:pPr>
    <w:r>
      <w:rPr>
        <w:rFonts w:ascii="Garamond" w:hAnsi="Garamond"/>
        <w:b/>
        <w:noProof/>
      </w:rPr>
      <w:drawing>
        <wp:anchor distT="0" distB="0" distL="114300" distR="114300" simplePos="0" relativeHeight="2" behindDoc="1" locked="0" layoutInCell="1" allowOverlap="1" wp14:anchorId="5D6A6FFD" wp14:editId="57572D87">
          <wp:simplePos x="0" y="0"/>
          <wp:positionH relativeFrom="margin">
            <wp:posOffset>-271780</wp:posOffset>
          </wp:positionH>
          <wp:positionV relativeFrom="page">
            <wp:posOffset>453390</wp:posOffset>
          </wp:positionV>
          <wp:extent cx="2879725" cy="341630"/>
          <wp:effectExtent l="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341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275CD4B" w14:textId="77777777" w:rsidR="00115AF6" w:rsidRDefault="00115AF6">
    <w:pPr>
      <w:pStyle w:val="Intestazione"/>
      <w:jc w:val="right"/>
      <w:rPr>
        <w:rFonts w:ascii="Garamond" w:hAnsi="Garamond"/>
        <w:b/>
      </w:rPr>
    </w:pPr>
  </w:p>
  <w:p w14:paraId="0C51AA17" w14:textId="77777777" w:rsidR="00115AF6" w:rsidRDefault="007F6D10">
    <w:pPr>
      <w:pStyle w:val="Intestazione"/>
      <w:tabs>
        <w:tab w:val="left" w:pos="3878"/>
      </w:tabs>
      <w:rPr>
        <w:rFonts w:ascii="Garamond" w:hAnsi="Garamond"/>
        <w:b/>
      </w:rPr>
    </w:pPr>
    <w:r>
      <w:rPr>
        <w:rFonts w:ascii="Garamond" w:hAnsi="Garamond"/>
        <w:b/>
      </w:rPr>
      <w:tab/>
    </w:r>
    <w:r>
      <w:rPr>
        <w:rFonts w:ascii="Garamond" w:hAnsi="Garamond"/>
        <w:b/>
      </w:rPr>
      <w:tab/>
    </w:r>
  </w:p>
  <w:p w14:paraId="33F6E0CA" w14:textId="77777777" w:rsidR="00115AF6" w:rsidRDefault="007F6D10">
    <w:pPr>
      <w:pStyle w:val="Intestazione"/>
      <w:jc w:val="right"/>
      <w:rPr>
        <w:rFonts w:ascii="Titillium" w:hAnsi="Titillium" w:cs="Times New Roman"/>
        <w:b/>
        <w:sz w:val="20"/>
        <w:szCs w:val="20"/>
      </w:rPr>
    </w:pPr>
    <w:r>
      <w:rPr>
        <w:rFonts w:ascii="Titillium" w:hAnsi="Titillium"/>
        <w:b/>
        <w:sz w:val="20"/>
        <w:szCs w:val="20"/>
      </w:rPr>
      <w:t xml:space="preserve">Allegato 3 alla </w:t>
    </w:r>
    <w:r>
      <w:rPr>
        <w:rFonts w:ascii="Titillium" w:hAnsi="Titillium" w:cs="Times New Roman"/>
        <w:b/>
        <w:sz w:val="20"/>
        <w:szCs w:val="20"/>
      </w:rPr>
      <w:t>delibera ANAC n. 294/2021</w:t>
    </w:r>
  </w:p>
  <w:p w14:paraId="211A7436" w14:textId="77777777" w:rsidR="00115AF6" w:rsidRDefault="00115AF6">
    <w:pPr>
      <w:pStyle w:val="Intestazione"/>
      <w:jc w:val="right"/>
      <w:rPr>
        <w:rFonts w:ascii="Garamond" w:hAnsi="Garamond" w:cs="Times New Roman"/>
        <w:b/>
      </w:rPr>
    </w:pPr>
  </w:p>
  <w:p w14:paraId="0EE8F265" w14:textId="77777777" w:rsidR="00115AF6" w:rsidRDefault="00115AF6">
    <w:pPr>
      <w:pStyle w:val="Intestazione"/>
      <w:jc w:val="right"/>
      <w:rPr>
        <w:rFonts w:ascii="Garamond" w:hAnsi="Garamond" w:cs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87A33"/>
    <w:multiLevelType w:val="multilevel"/>
    <w:tmpl w:val="AE160D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83C74EE"/>
    <w:multiLevelType w:val="multilevel"/>
    <w:tmpl w:val="33DCD68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8A94E6D"/>
    <w:multiLevelType w:val="multilevel"/>
    <w:tmpl w:val="CBFC41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AF6"/>
    <w:rsid w:val="000B127F"/>
    <w:rsid w:val="00115AF6"/>
    <w:rsid w:val="007F6D10"/>
    <w:rsid w:val="00A008AC"/>
    <w:rsid w:val="00BE1A59"/>
    <w:rsid w:val="00DB2FAA"/>
    <w:rsid w:val="00F7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EE862"/>
  <w15:docId w15:val="{C797696D-658D-458C-88B6-A045A347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keepNext/>
      <w:widowControl w:val="0"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Richiamoallanotaapidipagina">
    <w:name w:val="Richiamo alla nota a piè di pagina"/>
    <w:rPr>
      <w:sz w:val="14"/>
      <w:vertAlign w:val="superscript"/>
    </w:rPr>
  </w:style>
  <w:style w:type="character" w:customStyle="1" w:styleId="FootnoteCharacters">
    <w:name w:val="Footnote Characters"/>
    <w:basedOn w:val="Carpredefinitoparagrafo"/>
    <w:qFormat/>
    <w:rPr>
      <w:sz w:val="14"/>
      <w:vertAlign w:val="superscript"/>
    </w:rPr>
  </w:style>
  <w:style w:type="character" w:customStyle="1" w:styleId="TestonotaapidipaginaCarattere">
    <w:name w:val="Testo nota a piè di pagina Carattere"/>
    <w:basedOn w:val="Carpredefinitoparagrafo"/>
    <w:qFormat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qFormat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qFormat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qFormat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qFormat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qFormat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qFormat/>
    <w:rPr>
      <w:rFonts w:ascii="Courier New" w:hAnsi="Courier New" w:cs="Courier New"/>
    </w:rPr>
  </w:style>
  <w:style w:type="character" w:customStyle="1" w:styleId="WWCharLFO13LVL3">
    <w:name w:val="WW_CharLFO13LVL3"/>
    <w:qFormat/>
    <w:rPr>
      <w:rFonts w:ascii="Wingdings" w:hAnsi="Wingdings"/>
    </w:rPr>
  </w:style>
  <w:style w:type="character" w:customStyle="1" w:styleId="WWCharLFO13LVL4">
    <w:name w:val="WW_CharLFO13LVL4"/>
    <w:qFormat/>
    <w:rPr>
      <w:rFonts w:ascii="Symbol" w:hAnsi="Symbol"/>
    </w:rPr>
  </w:style>
  <w:style w:type="character" w:customStyle="1" w:styleId="WWCharLFO13LVL5">
    <w:name w:val="WW_CharLFO13LVL5"/>
    <w:qFormat/>
    <w:rPr>
      <w:rFonts w:ascii="Courier New" w:hAnsi="Courier New" w:cs="Courier New"/>
    </w:rPr>
  </w:style>
  <w:style w:type="character" w:customStyle="1" w:styleId="WWCharLFO13LVL6">
    <w:name w:val="WW_CharLFO13LVL6"/>
    <w:qFormat/>
    <w:rPr>
      <w:rFonts w:ascii="Wingdings" w:hAnsi="Wingdings"/>
    </w:rPr>
  </w:style>
  <w:style w:type="character" w:customStyle="1" w:styleId="WWCharLFO13LVL7">
    <w:name w:val="WW_CharLFO13LVL7"/>
    <w:qFormat/>
    <w:rPr>
      <w:rFonts w:ascii="Symbol" w:hAnsi="Symbol"/>
    </w:rPr>
  </w:style>
  <w:style w:type="character" w:customStyle="1" w:styleId="WWCharLFO13LVL8">
    <w:name w:val="WW_CharLFO13LVL8"/>
    <w:qFormat/>
    <w:rPr>
      <w:rFonts w:ascii="Courier New" w:hAnsi="Courier New" w:cs="Courier New"/>
    </w:rPr>
  </w:style>
  <w:style w:type="character" w:customStyle="1" w:styleId="WWCharLFO13LVL9">
    <w:name w:val="WW_CharLFO13LVL9"/>
    <w:qFormat/>
    <w:rPr>
      <w:rFonts w:ascii="Wingdings" w:hAnsi="Wingdings"/>
    </w:rPr>
  </w:style>
  <w:style w:type="character" w:customStyle="1" w:styleId="WWCharLFO15LVL1">
    <w:name w:val="WW_CharLFO15LVL1"/>
    <w:qFormat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qFormat/>
    <w:rPr>
      <w:rFonts w:ascii="Courier New" w:hAnsi="Courier New" w:cs="Courier New"/>
    </w:rPr>
  </w:style>
  <w:style w:type="character" w:customStyle="1" w:styleId="WWCharLFO15LVL3">
    <w:name w:val="WW_CharLFO15LVL3"/>
    <w:qFormat/>
    <w:rPr>
      <w:rFonts w:ascii="Wingdings" w:hAnsi="Wingdings"/>
    </w:rPr>
  </w:style>
  <w:style w:type="character" w:customStyle="1" w:styleId="WWCharLFO15LVL4">
    <w:name w:val="WW_CharLFO15LVL4"/>
    <w:qFormat/>
    <w:rPr>
      <w:rFonts w:ascii="Symbol" w:hAnsi="Symbol"/>
    </w:rPr>
  </w:style>
  <w:style w:type="character" w:customStyle="1" w:styleId="WWCharLFO15LVL5">
    <w:name w:val="WW_CharLFO15LVL5"/>
    <w:qFormat/>
    <w:rPr>
      <w:rFonts w:ascii="Courier New" w:hAnsi="Courier New" w:cs="Courier New"/>
    </w:rPr>
  </w:style>
  <w:style w:type="character" w:customStyle="1" w:styleId="WWCharLFO15LVL6">
    <w:name w:val="WW_CharLFO15LVL6"/>
    <w:qFormat/>
    <w:rPr>
      <w:rFonts w:ascii="Wingdings" w:hAnsi="Wingdings"/>
    </w:rPr>
  </w:style>
  <w:style w:type="character" w:customStyle="1" w:styleId="WWCharLFO15LVL7">
    <w:name w:val="WW_CharLFO15LVL7"/>
    <w:qFormat/>
    <w:rPr>
      <w:rFonts w:ascii="Symbol" w:hAnsi="Symbol"/>
    </w:rPr>
  </w:style>
  <w:style w:type="character" w:customStyle="1" w:styleId="WWCharLFO15LVL8">
    <w:name w:val="WW_CharLFO15LVL8"/>
    <w:qFormat/>
    <w:rPr>
      <w:rFonts w:ascii="Courier New" w:hAnsi="Courier New" w:cs="Courier New"/>
    </w:rPr>
  </w:style>
  <w:style w:type="character" w:customStyle="1" w:styleId="WWCharLFO15LVL9">
    <w:name w:val="WW_CharLFO15LVL9"/>
    <w:qFormat/>
    <w:rPr>
      <w:rFonts w:ascii="Wingdings" w:hAnsi="Wingdings"/>
    </w:rPr>
  </w:style>
  <w:style w:type="character" w:customStyle="1" w:styleId="Caratteredellanota">
    <w:name w:val="Carattere della nota"/>
    <w:qFormat/>
  </w:style>
  <w:style w:type="paragraph" w:styleId="Titolo">
    <w:name w:val="Title"/>
    <w:basedOn w:val="Normale"/>
    <w:next w:val="Corpotesto1"/>
    <w:autoRedefine/>
    <w:qFormat/>
    <w:p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testo1">
    <w:name w:val="Corpo testo1"/>
    <w:basedOn w:val="Normale"/>
  </w:style>
  <w:style w:type="paragraph" w:styleId="Elenco">
    <w:name w:val="List"/>
    <w:basedOn w:val="Corpotesto1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qFormat/>
    <w:pPr>
      <w:ind w:left="357" w:hanging="357"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qFormat/>
    <w:pPr>
      <w:keepNext/>
      <w:spacing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qFormat/>
    <w:rPr>
      <w:sz w:val="20"/>
      <w:szCs w:val="20"/>
    </w:rPr>
  </w:style>
  <w:style w:type="paragraph" w:styleId="Soggettocommento">
    <w:name w:val="annotation subject"/>
    <w:basedOn w:val="Testocommento"/>
    <w:next w:val="Testocommento"/>
    <w:qFormat/>
    <w:rPr>
      <w:b/>
      <w:bCs/>
    </w:rPr>
  </w:style>
  <w:style w:type="paragraph" w:styleId="Testofumetto">
    <w:name w:val="Balloon Text"/>
    <w:basedOn w:val="Normale"/>
    <w:qFormat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i.siciliani</dc:creator>
  <dc:description/>
  <cp:lastModifiedBy>protocollo</cp:lastModifiedBy>
  <cp:revision>2</cp:revision>
  <cp:lastPrinted>2018-02-28T15:30:00Z</cp:lastPrinted>
  <dcterms:created xsi:type="dcterms:W3CDTF">2021-06-29T06:58:00Z</dcterms:created>
  <dcterms:modified xsi:type="dcterms:W3CDTF">2021-06-29T06:58:00Z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